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E177">
      <w:pPr>
        <w:spacing w:after="0"/>
        <w:jc w:val="right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</w:p>
    <w:p w14:paraId="04CBB9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3A1E91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14:paraId="13DD4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14:paraId="3ECD9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AA2AA9">
      <w:pPr>
        <w:pStyle w:val="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14:paraId="1710201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CC24F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января 2025г.                                                                                              №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68FFA17D">
      <w:pPr>
        <w:pStyle w:val="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О внесении изменений и дополнений в муниципальную программу</w:t>
      </w:r>
    </w:p>
    <w:p w14:paraId="623FBF29">
      <w:pPr>
        <w:pStyle w:val="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«Благоустройство и озеленение территории  Тепловского муниципального образования Новобурасского муниципального района Саратовской области на 2025 -2027год», утвержденную постановлением администрации Тепловского муниципального образования от 12 ноября 2024г. № 112</w:t>
      </w:r>
    </w:p>
    <w:p w14:paraId="6262DC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609B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</w:t>
      </w:r>
    </w:p>
    <w:p w14:paraId="2EC2361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75580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14:paraId="10C303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2025-2027 годы»,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Тепловского муниципального образования от 12 ноября 2024г. № 112, согласно приложению к настоящему постановлению</w:t>
      </w:r>
    </w:p>
    <w:p w14:paraId="0DB814E8">
      <w:pPr>
        <w:pStyle w:val="20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>
        <w:rPr>
          <w:rFonts w:ascii="Times New Roman" w:hAnsi="Times New Roman"/>
          <w:sz w:val="28"/>
          <w:szCs w:val="28"/>
        </w:rPr>
        <w:t>Настоящее постановление вступает в силу со дня официального обнародования в местах, утвержденных решением Совета Тепловского муниципального образования от 17.04.2019г.№ 40. Настоящее постановление подлежит размещению на сайте администрации Новобурасского муниципального района и распространяется на правоотношения, возникшие не ранее чем с 1 января 2025года.</w:t>
      </w:r>
    </w:p>
    <w:p w14:paraId="1E8E9D0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3.Контроль за исполнением настоящего постановления оставляю за собой. </w:t>
      </w:r>
    </w:p>
    <w:p w14:paraId="11A5EE53">
      <w:pPr>
        <w:pStyle w:val="21"/>
        <w:jc w:val="both"/>
        <w:rPr>
          <w:sz w:val="28"/>
          <w:szCs w:val="28"/>
        </w:rPr>
      </w:pPr>
    </w:p>
    <w:p w14:paraId="4283F3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E31AA01">
      <w:pPr>
        <w:pStyle w:val="11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Тепловского муниципального образования </w:t>
      </w:r>
    </w:p>
    <w:p w14:paraId="23C06B45">
      <w:pPr>
        <w:pStyle w:val="11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14:paraId="40629ECB">
      <w:pPr>
        <w:pStyle w:val="11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14:paraId="480F2803">
      <w:pPr>
        <w:pStyle w:val="11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8839E10">
      <w:pPr>
        <w:pStyle w:val="11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BC29C8C">
      <w:pPr>
        <w:pStyle w:val="2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14:paraId="419A3810">
      <w:pPr>
        <w:pStyle w:val="21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14:paraId="636E0630">
      <w:pPr>
        <w:pStyle w:val="21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Тепловского муниципального образования </w:t>
      </w:r>
    </w:p>
    <w:p w14:paraId="08BD8636">
      <w:pPr>
        <w:pStyle w:val="21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От</w:t>
      </w:r>
      <w:r>
        <w:rPr>
          <w:rFonts w:hint="default"/>
          <w:sz w:val="28"/>
          <w:szCs w:val="28"/>
          <w:lang w:val="ru-RU"/>
        </w:rPr>
        <w:t xml:space="preserve"> 21</w:t>
      </w:r>
      <w:r>
        <w:rPr>
          <w:sz w:val="28"/>
          <w:szCs w:val="28"/>
        </w:rPr>
        <w:t>.01.2025г.   №</w:t>
      </w:r>
      <w:r>
        <w:rPr>
          <w:rFonts w:hint="default"/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          </w:t>
      </w:r>
    </w:p>
    <w:p w14:paraId="6006D674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02EBE8A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14:paraId="47CD55D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7"/>
        <w:tblW w:w="1050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3"/>
        <w:gridCol w:w="3299"/>
        <w:gridCol w:w="1741"/>
        <w:gridCol w:w="1830"/>
        <w:gridCol w:w="1719"/>
      </w:tblGrid>
      <w:tr w14:paraId="1EE7B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0" w:type="auto"/>
          </w:tcPr>
          <w:p w14:paraId="0FC20FB3">
            <w:pPr>
              <w:pStyle w:val="10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>
              <w:rPr>
                <w:szCs w:val="28"/>
              </w:rPr>
              <w:t>1. Наименование    Программы</w:t>
            </w:r>
          </w:p>
        </w:tc>
        <w:tc>
          <w:tcPr>
            <w:tcW w:w="0" w:type="auto"/>
            <w:gridSpan w:val="4"/>
          </w:tcPr>
          <w:p w14:paraId="2442C1B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«Благоустройство и озеленение территории Тепловского муниципального образования Новобурасского муниципального района Саратовской области в 2025-2027году» (далее-Программа).</w:t>
            </w:r>
          </w:p>
        </w:tc>
      </w:tr>
      <w:tr w14:paraId="06472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0" w:type="auto"/>
          </w:tcPr>
          <w:p w14:paraId="5F91AE8A">
            <w:pPr>
              <w:pStyle w:val="20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14:paraId="7B0624B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48AA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8550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6963C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87F6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36B51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23149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CE186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D54CF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3.Разработчик Программы</w:t>
            </w:r>
          </w:p>
        </w:tc>
        <w:tc>
          <w:tcPr>
            <w:tcW w:w="0" w:type="auto"/>
            <w:gridSpan w:val="4"/>
          </w:tcPr>
          <w:p w14:paraId="4701052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14:paraId="21871A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14:paraId="50DFFB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14:paraId="51EFFE5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EBA32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14:paraId="4FB98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0" w:type="auto"/>
          </w:tcPr>
          <w:p w14:paraId="01251A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14:paraId="2585C99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осуществляется в течение 2025-2027 годов в три этапа:</w:t>
            </w:r>
          </w:p>
          <w:p w14:paraId="0A3FF38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этап-2025год</w:t>
            </w:r>
          </w:p>
          <w:p w14:paraId="676F467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этап-2026год</w:t>
            </w:r>
          </w:p>
          <w:p w14:paraId="612BBC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этап-2027год</w:t>
            </w:r>
          </w:p>
        </w:tc>
      </w:tr>
      <w:tr w14:paraId="229407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0" w:type="auto"/>
          </w:tcPr>
          <w:p w14:paraId="00B138D3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14:paraId="506778B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14:paraId="733BE87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14:paraId="7DE3B24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14:paraId="5518D52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благоустройства и озеленения территории Тепловского муниципального образования;</w:t>
            </w:r>
          </w:p>
          <w:p w14:paraId="7AA14DD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14:paraId="5C55E6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14:paraId="7998BD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14:paraId="67D3C0E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14:paraId="356557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14:paraId="5FF45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0" w:type="auto"/>
            <w:vMerge w:val="restart"/>
          </w:tcPr>
          <w:p w14:paraId="3EA5E9E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Объемы и источники финансирования программы</w:t>
            </w:r>
          </w:p>
          <w:p w14:paraId="110157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89CC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C0A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4BE3C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14:paraId="0E7A222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FF0000"/>
                <w:sz w:val="28"/>
                <w:szCs w:val="28"/>
                <w:lang w:val="ru-RU"/>
              </w:rPr>
              <w:t>9905,6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ыс. рублей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47B051C7">
            <w:pPr>
              <w:spacing w:after="0"/>
              <w:ind w:firstLine="420" w:firstLineChars="1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>
              <w:rPr>
                <w:rFonts w:hint="default" w:ascii="Times New Roman" w:hAnsi="Times New Roman" w:cs="Times New Roman"/>
                <w:color w:val="FF0000"/>
                <w:sz w:val="28"/>
                <w:szCs w:val="28"/>
                <w:lang w:val="ru-RU"/>
              </w:rPr>
              <w:t>9500,6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ыс. Рублей</w:t>
            </w:r>
          </w:p>
          <w:p w14:paraId="3D660892">
            <w:pPr>
              <w:spacing w:after="0"/>
              <w:ind w:firstLine="281" w:firstLineChars="100"/>
              <w:jc w:val="both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- </w:t>
            </w:r>
            <w:r>
              <w:rPr>
                <w:rFonts w:hint="default" w:ascii="Times New Roman" w:hAnsi="Times New Roman"/>
                <w:color w:val="FF0000"/>
                <w:sz w:val="28"/>
                <w:szCs w:val="28"/>
                <w:lang w:val="ru-RU"/>
              </w:rPr>
              <w:t>95,0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тыс.руб.</w:t>
            </w:r>
          </w:p>
          <w:p w14:paraId="203761FC">
            <w:pPr>
              <w:spacing w:after="0"/>
              <w:ind w:firstLine="280" w:firstLineChars="100"/>
              <w:jc w:val="both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-</w:t>
            </w:r>
            <w:r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  <w:t>310,0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тыс.руб.</w:t>
            </w:r>
          </w:p>
          <w:p w14:paraId="69BAFC3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14:paraId="595E4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0" w:type="auto"/>
            <w:vMerge w:val="continue"/>
          </w:tcPr>
          <w:p w14:paraId="1483A9B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14:paraId="7CCDB8F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 - </w:t>
            </w:r>
            <w:r>
              <w:rPr>
                <w:rFonts w:hint="default" w:ascii="Times New Roman" w:hAnsi="Times New Roman" w:cs="Times New Roman"/>
                <w:color w:val="FF0000"/>
                <w:sz w:val="28"/>
                <w:szCs w:val="28"/>
                <w:lang w:val="ru-RU"/>
              </w:rPr>
              <w:t xml:space="preserve">9905,6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14:paraId="589608A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1D90F4AD">
            <w:pPr>
              <w:spacing w:after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8"/>
                <w:szCs w:val="28"/>
                <w:lang w:val="ru-RU"/>
              </w:rPr>
              <w:t>4014,0</w:t>
            </w:r>
          </w:p>
        </w:tc>
        <w:tc>
          <w:tcPr>
            <w:tcW w:w="1528" w:type="dxa"/>
            <w:shd w:val="clear" w:color="auto" w:fill="FFFFFF"/>
          </w:tcPr>
          <w:p w14:paraId="6676D1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14:paraId="4E6856B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2811,6</w:t>
            </w:r>
          </w:p>
        </w:tc>
        <w:tc>
          <w:tcPr>
            <w:tcW w:w="1359" w:type="dxa"/>
            <w:shd w:val="clear" w:color="auto" w:fill="FFFFFF"/>
          </w:tcPr>
          <w:p w14:paraId="238B424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  <w:p w14:paraId="7247E3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3080,0</w:t>
            </w:r>
          </w:p>
        </w:tc>
      </w:tr>
      <w:tr w14:paraId="2709D0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0" w:type="auto"/>
          </w:tcPr>
          <w:p w14:paraId="47352CB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14:paraId="3BF365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8"/>
                <w:szCs w:val="28"/>
                <w:lang w:val="ru-RU"/>
              </w:rPr>
              <w:t>9905,6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тыс.руб.</w:t>
            </w:r>
          </w:p>
        </w:tc>
      </w:tr>
      <w:tr w14:paraId="04A371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</w:trPr>
        <w:tc>
          <w:tcPr>
            <w:tcW w:w="0" w:type="auto"/>
          </w:tcPr>
          <w:p w14:paraId="1A08E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7.Прогноз конечных результатов</w:t>
            </w:r>
          </w:p>
        </w:tc>
        <w:tc>
          <w:tcPr>
            <w:tcW w:w="0" w:type="auto"/>
            <w:gridSpan w:val="4"/>
          </w:tcPr>
          <w:p w14:paraId="0E2D2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14:paraId="0917BE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14:paraId="21D30F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14:paraId="56B26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-Очистка территории кладбища от несанкционированных свалок;</w:t>
            </w:r>
          </w:p>
          <w:p w14:paraId="2B9B3B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Содержание элементов   внешнего благоустройства, включая работы по установки урн, табличек с названием улиц  и домов.</w:t>
            </w:r>
          </w:p>
        </w:tc>
      </w:tr>
      <w:tr w14:paraId="243AE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0" w:type="auto"/>
          </w:tcPr>
          <w:p w14:paraId="690F5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8.Система контроля </w:t>
            </w:r>
          </w:p>
          <w:p w14:paraId="2201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заисполнением Программы.</w:t>
            </w:r>
          </w:p>
          <w:p w14:paraId="29C6D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E1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9.Целевые  показатели муниципальной программы (индикаторы)</w:t>
            </w:r>
          </w:p>
        </w:tc>
        <w:tc>
          <w:tcPr>
            <w:tcW w:w="0" w:type="auto"/>
            <w:gridSpan w:val="4"/>
          </w:tcPr>
          <w:p w14:paraId="15CBA9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14:paraId="5F0811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735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14:paraId="715A1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14:paraId="1FD6B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14:paraId="0C9EB5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14:paraId="24F4C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14:paraId="7448C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B79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864D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Характеристика сферы реализации муниципальной Программы</w:t>
      </w:r>
    </w:p>
    <w:p w14:paraId="4B9FFAA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52F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14:paraId="2EE770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14:paraId="5A209A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14:paraId="07C34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14:paraId="485B67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14:paraId="0A2D68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14:paraId="7B17D2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14:paraId="5BF40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14:paraId="702D89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14:paraId="07373B7F">
      <w:pPr>
        <w:pStyle w:val="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14:paraId="11391495">
      <w:pPr>
        <w:pStyle w:val="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– благоустройство и озеленение. </w:t>
      </w:r>
    </w:p>
    <w:p w14:paraId="023D0FD5">
      <w:pPr>
        <w:pStyle w:val="3"/>
        <w:jc w:val="both"/>
        <w:rPr>
          <w:rFonts w:ascii="Times New Roman" w:hAnsi="Times New Roman"/>
          <w:sz w:val="28"/>
          <w:szCs w:val="28"/>
        </w:rPr>
      </w:pPr>
    </w:p>
    <w:p w14:paraId="3B1EB64C">
      <w:pPr>
        <w:pStyle w:val="2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Цели и задачи муниципальной Программы</w:t>
      </w:r>
    </w:p>
    <w:p w14:paraId="3BD2FFB5">
      <w:pPr>
        <w:pStyle w:val="28"/>
        <w:jc w:val="both"/>
        <w:rPr>
          <w:rFonts w:ascii="Times New Roman" w:hAnsi="Times New Roman"/>
          <w:sz w:val="28"/>
          <w:szCs w:val="28"/>
        </w:rPr>
      </w:pPr>
    </w:p>
    <w:p w14:paraId="54572512">
      <w:pPr>
        <w:pStyle w:val="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14:paraId="057C0377">
      <w:pPr>
        <w:pStyle w:val="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14:paraId="468EB294">
      <w:pPr>
        <w:pStyle w:val="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14:paraId="138E85ED">
      <w:pPr>
        <w:pStyle w:val="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14:paraId="3781FC20">
      <w:pPr>
        <w:pStyle w:val="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14:paraId="7FDD4430">
      <w:pPr>
        <w:pStyle w:val="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14:paraId="1B82E9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14:paraId="645FA3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14:paraId="6E1DF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14:paraId="06E03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14:paraId="474C5C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14:paraId="17302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14:paraId="0B5AA918">
      <w:pPr>
        <w:pStyle w:val="12"/>
        <w:ind w:left="0"/>
        <w:jc w:val="center"/>
        <w:rPr>
          <w:b/>
        </w:rPr>
      </w:pPr>
      <w:r>
        <w:rPr>
          <w:b/>
        </w:rPr>
        <w:t>3.Финансовой обеспечение муниципальной Программы</w:t>
      </w:r>
    </w:p>
    <w:p w14:paraId="4EAF9368">
      <w:pPr>
        <w:pStyle w:val="12"/>
        <w:ind w:left="0"/>
      </w:pPr>
    </w:p>
    <w:p w14:paraId="04C3B669">
      <w:pPr>
        <w:pStyle w:val="12"/>
        <w:ind w:left="0"/>
      </w:pPr>
      <w:r>
        <w:t>Финансирование Программы осуществляется за счет средств местного бюджета. Объемы финансирования Программы определен для реализации конкретных мероприятий по отрасли «Жилищно-коммунальное хозяйство» (статья «Благоустройство»).</w:t>
      </w:r>
    </w:p>
    <w:p w14:paraId="6F12DCBA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Общий объем финансирования Программы за весь период составляет</w:t>
      </w:r>
      <w:r>
        <w:t xml:space="preserve"> </w:t>
      </w:r>
      <w:r>
        <w:rPr>
          <w:rFonts w:hint="default"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FF0000"/>
          <w:sz w:val="28"/>
          <w:szCs w:val="28"/>
          <w:lang w:val="ru-RU"/>
        </w:rPr>
        <w:t xml:space="preserve">9905,6 </w:t>
      </w:r>
      <w:r>
        <w:rPr>
          <w:rFonts w:hint="default" w:ascii="Times New Roman" w:hAnsi="Times New Roman" w:cs="Times New Roman"/>
          <w:b/>
          <w:color w:val="FF0000"/>
          <w:sz w:val="28"/>
          <w:szCs w:val="28"/>
        </w:rPr>
        <w:t>ты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b/>
        </w:rPr>
        <w:t>рублей</w:t>
      </w:r>
      <w:r>
        <w:rPr>
          <w:color w:val="FF0000"/>
        </w:rPr>
        <w:t xml:space="preserve">. </w:t>
      </w:r>
    </w:p>
    <w:p w14:paraId="18A2B5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>
        <w:rPr>
          <w:rFonts w:hint="default" w:ascii="Times New Roman" w:hAnsi="Times New Roman" w:cs="Times New Roman"/>
          <w:color w:val="FF0000"/>
          <w:sz w:val="28"/>
          <w:szCs w:val="28"/>
          <w:lang w:val="ru-RU"/>
        </w:rPr>
        <w:t>4014,0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ты</w:t>
      </w:r>
      <w:r>
        <w:rPr>
          <w:rFonts w:ascii="Times New Roman" w:hAnsi="Times New Roman" w:cs="Times New Roman"/>
          <w:sz w:val="24"/>
          <w:szCs w:val="24"/>
        </w:rPr>
        <w:t>с.руб</w:t>
      </w:r>
    </w:p>
    <w:p w14:paraId="25F995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2811,6  тыс.руб.</w:t>
      </w:r>
    </w:p>
    <w:p w14:paraId="2A0682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2027год – 3080,0 тыс.руб.</w:t>
      </w:r>
    </w:p>
    <w:p w14:paraId="5704E464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14:paraId="6A1E926A">
      <w:pPr>
        <w:pStyle w:val="12"/>
        <w:ind w:left="0"/>
        <w:jc w:val="center"/>
        <w:rPr>
          <w:b/>
        </w:rPr>
      </w:pPr>
      <w:r>
        <w:rPr>
          <w:b/>
        </w:rPr>
        <w:t>4.Целевые показатели муниципальной Программы</w:t>
      </w:r>
    </w:p>
    <w:p w14:paraId="4EB0F537">
      <w:pPr>
        <w:pStyle w:val="12"/>
        <w:ind w:left="0"/>
        <w:rPr>
          <w:b/>
        </w:rPr>
      </w:pPr>
    </w:p>
    <w:p w14:paraId="5BA998A2">
      <w:pPr>
        <w:pStyle w:val="12"/>
        <w:ind w:left="0"/>
      </w:pPr>
      <w: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14:paraId="052CF63C">
      <w:pPr>
        <w:pStyle w:val="12"/>
        <w:ind w:left="0"/>
      </w:pPr>
      <w:r>
        <w:t>- создания комфортабельных условий для отдыха жителей муниципального образования.</w:t>
      </w:r>
    </w:p>
    <w:p w14:paraId="06683B20">
      <w:pPr>
        <w:pStyle w:val="12"/>
        <w:ind w:left="0"/>
      </w:pPr>
      <w:r>
        <w:t>- обновление  и расширение инженерной инфраструктуры;</w:t>
      </w:r>
    </w:p>
    <w:p w14:paraId="6A657127">
      <w:pPr>
        <w:pStyle w:val="12"/>
        <w:ind w:left="0"/>
      </w:pPr>
      <w:r>
        <w:t xml:space="preserve">- улучшения экологического и санитарного состояния зеленых насаждений; </w:t>
      </w:r>
    </w:p>
    <w:p w14:paraId="49990FC5">
      <w:pPr>
        <w:pStyle w:val="12"/>
        <w:ind w:left="0"/>
      </w:pPr>
      <w:r>
        <w:t>- повышение качества и культуры обслуживания жителей муниципального образования.</w:t>
      </w:r>
    </w:p>
    <w:p w14:paraId="0E45C146">
      <w:pPr>
        <w:pStyle w:val="12"/>
        <w:ind w:left="0"/>
      </w:pPr>
    </w:p>
    <w:p w14:paraId="56556F2E">
      <w:pPr>
        <w:pStyle w:val="12"/>
        <w:ind w:left="0"/>
        <w:jc w:val="center"/>
        <w:rPr>
          <w:b/>
        </w:rPr>
      </w:pPr>
      <w:r>
        <w:rPr>
          <w:b/>
          <w:spacing w:val="1"/>
        </w:rPr>
        <w:t xml:space="preserve">          5 .Оценка эффективности </w:t>
      </w:r>
      <w:r>
        <w:rPr>
          <w:b/>
        </w:rPr>
        <w:t>социально-экономических и экологических последствий реализации Программы</w:t>
      </w:r>
    </w:p>
    <w:p w14:paraId="4836AA17">
      <w:pPr>
        <w:pStyle w:val="12"/>
        <w:ind w:left="0"/>
        <w:jc w:val="center"/>
        <w:rPr>
          <w:b/>
        </w:rPr>
      </w:pPr>
    </w:p>
    <w:p w14:paraId="05CAE167">
      <w:pPr>
        <w:pStyle w:val="20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14:paraId="234B7BF5">
      <w:pPr>
        <w:pStyle w:val="20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14:paraId="1B6A97DE">
      <w:pPr>
        <w:pStyle w:val="20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14:paraId="74B1BF02">
      <w:pPr>
        <w:pStyle w:val="12"/>
        <w:ind w:left="0"/>
        <w:jc w:val="center"/>
        <w:rPr>
          <w:b/>
        </w:rPr>
      </w:pPr>
      <w:r>
        <w:rPr>
          <w:b/>
        </w:rPr>
        <w:t xml:space="preserve"> 6.Целевой прогноз конечных результатов муниципальной программы</w:t>
      </w:r>
    </w:p>
    <w:p w14:paraId="12B93101">
      <w:pPr>
        <w:pStyle w:val="12"/>
        <w:ind w:left="0"/>
        <w:jc w:val="center"/>
        <w:rPr>
          <w:b/>
        </w:rPr>
      </w:pPr>
    </w:p>
    <w:p w14:paraId="204085A8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14:paraId="1E551001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14:paraId="5944AB9A">
      <w:pPr>
        <w:pStyle w:val="12"/>
        <w:ind w:left="0"/>
      </w:pPr>
    </w:p>
    <w:p w14:paraId="5E3E7E9C">
      <w:pPr>
        <w:pStyle w:val="12"/>
        <w:ind w:left="0"/>
        <w:sectPr>
          <w:footerReference r:id="rId5" w:type="default"/>
          <w:pgSz w:w="11906" w:h="16838"/>
          <w:pgMar w:top="1134" w:right="567" w:bottom="1134" w:left="1134" w:header="709" w:footer="709" w:gutter="0"/>
          <w:cols w:space="720" w:num="1"/>
          <w:docGrid w:linePitch="299" w:charSpace="0"/>
        </w:sectPr>
      </w:pPr>
    </w:p>
    <w:p w14:paraId="0AAA096B">
      <w:pPr>
        <w:pStyle w:val="12"/>
        <w:ind w:left="0"/>
      </w:pPr>
    </w:p>
    <w:p w14:paraId="74C40FAB">
      <w:pPr>
        <w:pStyle w:val="1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7.Перечень и описание программных мероприятий </w:t>
      </w:r>
    </w:p>
    <w:tbl>
      <w:tblPr>
        <w:tblStyle w:val="7"/>
        <w:tblpPr w:leftFromText="180" w:rightFromText="180" w:vertAnchor="text" w:horzAnchor="margin" w:tblpY="447"/>
        <w:tblW w:w="15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673"/>
        <w:gridCol w:w="1083"/>
        <w:gridCol w:w="1412"/>
        <w:gridCol w:w="706"/>
        <w:gridCol w:w="1130"/>
        <w:gridCol w:w="848"/>
        <w:gridCol w:w="1413"/>
        <w:gridCol w:w="1978"/>
        <w:gridCol w:w="2684"/>
      </w:tblGrid>
      <w:tr w14:paraId="68E8B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tblHeader/>
        </w:trPr>
        <w:tc>
          <w:tcPr>
            <w:tcW w:w="3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E3247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C8041E7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Наименование мероприятия</w:t>
            </w:r>
          </w:p>
          <w:p w14:paraId="2C406DF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657C14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76234B6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14:paraId="353AB140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EC06D6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36E45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14:paraId="72E384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321DD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14:paraId="4309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tblHeader/>
        </w:trPr>
        <w:tc>
          <w:tcPr>
            <w:tcW w:w="3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BA45D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36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39B2E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A47C4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02639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16E8D9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46D1FB7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23B1B4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E34B19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7100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4F201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0" w:hRule="atLeast"/>
          <w:tblHeader/>
        </w:trPr>
        <w:tc>
          <w:tcPr>
            <w:tcW w:w="3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3F98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36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D255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0B62F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C7D3E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2B145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DDDCC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EBC47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339C75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79622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2FD9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2DE77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3" w:hRule="atLeast"/>
          <w:tblHeader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55AED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82EDD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 скамеек, малых архитектурных форм,  беседки, приобретение хоз. товаров, бензотримеров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28BF0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2025</w:t>
            </w:r>
          </w:p>
          <w:p w14:paraId="4F4F1E72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2026</w:t>
            </w:r>
          </w:p>
          <w:p w14:paraId="5FC5A1E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5602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8"/>
                <w:szCs w:val="28"/>
                <w:highlight w:val="none"/>
                <w:lang w:val="ru-RU"/>
              </w:rPr>
              <w:t>8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highlight w:val="none"/>
              </w:rPr>
              <w:t>95,3</w:t>
            </w:r>
          </w:p>
          <w:p w14:paraId="0D500D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520,9</w:t>
            </w:r>
          </w:p>
          <w:p w14:paraId="4C2769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789,3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D4BE9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</w:rPr>
              <w:t>-</w:t>
            </w:r>
          </w:p>
          <w:p w14:paraId="5CB0BF9B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</w:rPr>
              <w:t>-</w:t>
            </w:r>
          </w:p>
          <w:p w14:paraId="366EED0D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</w:rPr>
              <w:t>-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B3D1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8"/>
                <w:szCs w:val="28"/>
                <w:highlight w:val="none"/>
                <w:lang w:val="ru-RU"/>
              </w:rPr>
              <w:t>8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highlight w:val="none"/>
              </w:rPr>
              <w:t>95,3</w:t>
            </w:r>
          </w:p>
          <w:p w14:paraId="1155AC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520,9</w:t>
            </w:r>
          </w:p>
          <w:p w14:paraId="4B3E08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789,3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93733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EA90FF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6A3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  <w:p w14:paraId="6948B2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B93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14:paraId="5CCD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9" w:hRule="atLeast"/>
          <w:tblHeader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708D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7360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Установка и приобретение энергосберегающих ламп Выполнение договорных обязательств по оплате счетов за уличное освещение и предоставление мест на опорах воздушных ЛЭП.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539A5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2025</w:t>
            </w:r>
          </w:p>
          <w:p w14:paraId="378EA07B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2026</w:t>
            </w:r>
          </w:p>
          <w:p w14:paraId="79FA3D7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217B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138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,7</w:t>
            </w:r>
          </w:p>
          <w:p w14:paraId="020516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1980,7</w:t>
            </w:r>
          </w:p>
          <w:p w14:paraId="69C5B2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1980,7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F3CA6B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</w:t>
            </w:r>
          </w:p>
          <w:p w14:paraId="30E1725B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</w:t>
            </w:r>
          </w:p>
          <w:p w14:paraId="7DDAB1D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C8F7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138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,7</w:t>
            </w:r>
          </w:p>
          <w:p w14:paraId="198B7A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1980,7</w:t>
            </w:r>
          </w:p>
          <w:p w14:paraId="1EF2A889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1980,7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2FEE5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2DFFC5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234D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427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14:paraId="4E931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tblHeader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5C97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10062">
            <w:pPr>
              <w:pStyle w:val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2DCE1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2025</w:t>
            </w:r>
          </w:p>
          <w:p w14:paraId="3B4CE2BE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2026</w:t>
            </w:r>
          </w:p>
          <w:p w14:paraId="381E257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CA0E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highlight w:val="none"/>
              </w:rPr>
              <w:t>25,0</w:t>
            </w:r>
          </w:p>
          <w:p w14:paraId="1A8BEB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50,0</w:t>
            </w:r>
          </w:p>
          <w:p w14:paraId="113ABA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50,0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3D2827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2FE8B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highlight w:val="none"/>
              </w:rPr>
              <w:t xml:space="preserve"> 25,0</w:t>
            </w:r>
          </w:p>
          <w:p w14:paraId="1D1291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50,0</w:t>
            </w:r>
          </w:p>
          <w:p w14:paraId="34E330B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09377A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DFF645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07F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48E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14:paraId="5ACAD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4" w:hRule="atLeast"/>
          <w:tblHeader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2AFCB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108A01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CCB4E">
            <w:pPr>
              <w:pStyle w:val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F265C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2025</w:t>
            </w:r>
          </w:p>
          <w:p w14:paraId="6FDA239F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2026</w:t>
            </w:r>
          </w:p>
          <w:p w14:paraId="1B042A6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24B5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50,0</w:t>
            </w:r>
          </w:p>
          <w:p w14:paraId="36012D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50,0</w:t>
            </w:r>
          </w:p>
          <w:p w14:paraId="586D41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50,0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217DE5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0E25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50,0</w:t>
            </w:r>
          </w:p>
          <w:p w14:paraId="683AE5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50,0</w:t>
            </w:r>
          </w:p>
          <w:p w14:paraId="3EE8FE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01FEA4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96E86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1B3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5CD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14:paraId="1E96B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4" w:hRule="atLeast"/>
          <w:tblHeader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ACF77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7493E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095072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2025</w:t>
            </w:r>
          </w:p>
          <w:p w14:paraId="4448B29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2026</w:t>
            </w:r>
          </w:p>
          <w:p w14:paraId="21F379A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9E3B8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  <w:p w14:paraId="3A04726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  <w:p w14:paraId="27CD80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B4719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25C76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  <w:p w14:paraId="0D9BED9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  <w:p w14:paraId="18C72B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471F6E">
            <w:pPr>
              <w:pStyle w:val="24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A8A9BE">
            <w:pPr>
              <w:pStyle w:val="24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8281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834F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14:paraId="0D860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9" w:hRule="atLeast"/>
          <w:tblHeader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E98F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B5F9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C6EE1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2025</w:t>
            </w:r>
          </w:p>
          <w:p w14:paraId="76D1A92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2026</w:t>
            </w:r>
          </w:p>
          <w:p w14:paraId="6E30D97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AEF5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14:paraId="75E005F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14:paraId="6611BAB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92788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B9331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14:paraId="7C57A58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14:paraId="4BA2A5C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AEF714">
            <w:pPr>
              <w:pStyle w:val="24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D55D69">
            <w:pPr>
              <w:pStyle w:val="24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E65AE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1AED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14:paraId="07A47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4" w:hRule="atLeast"/>
          <w:tblHeader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BC8DF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C5246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(ремонт)памятников погибшим в годы ВОВ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ADE2E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2025</w:t>
            </w:r>
          </w:p>
          <w:p w14:paraId="7F6EEE4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2026</w:t>
            </w:r>
          </w:p>
          <w:p w14:paraId="524AB39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1D357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14:paraId="380261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14:paraId="6EB1C96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CBE8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A75D5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14:paraId="20118B4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14:paraId="50E88D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467296">
            <w:pPr>
              <w:pStyle w:val="24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CEF65B">
            <w:pPr>
              <w:pStyle w:val="24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9ED2DE">
            <w:pPr>
              <w:spacing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Администрация Тепловского муниципал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ьного образования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CD33D4">
            <w:pPr>
              <w:spacing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14:paraId="681FE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atLeast"/>
          <w:tblHeader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AEDBCB">
            <w:pPr>
              <w:spacing w:after="0"/>
              <w:jc w:val="both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22EB96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Реализация инициативных проектов («Вечная память» замена ограждения кладбища в с.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ru-RU"/>
              </w:rPr>
              <w:t>Чернышевка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43312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2025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7F8ED0">
            <w:pPr>
              <w:spacing w:after="0"/>
              <w:jc w:val="both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350,0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3D2F3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4E5E28">
            <w:pPr>
              <w:spacing w:after="0"/>
              <w:jc w:val="both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150,0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15AA01">
            <w:pPr>
              <w:pStyle w:val="24"/>
              <w:jc w:val="both"/>
              <w:rPr>
                <w:rFonts w:hint="default"/>
                <w:b w:val="0"/>
                <w:sz w:val="28"/>
                <w:szCs w:val="28"/>
                <w:lang w:val="ru-RU"/>
              </w:rPr>
            </w:pPr>
            <w:r>
              <w:rPr>
                <w:rFonts w:hint="default"/>
                <w:b w:val="0"/>
                <w:sz w:val="28"/>
                <w:szCs w:val="28"/>
                <w:lang w:val="ru-RU"/>
              </w:rPr>
              <w:t>50,0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C4C58C">
            <w:pPr>
              <w:pStyle w:val="24"/>
              <w:jc w:val="both"/>
              <w:rPr>
                <w:rFonts w:hint="default"/>
                <w:b w:val="0"/>
                <w:sz w:val="28"/>
                <w:szCs w:val="28"/>
                <w:lang w:val="ru-RU"/>
              </w:rPr>
            </w:pPr>
            <w:r>
              <w:rPr>
                <w:rFonts w:hint="default"/>
                <w:b w:val="0"/>
                <w:sz w:val="28"/>
                <w:szCs w:val="28"/>
                <w:lang w:val="ru-RU"/>
              </w:rPr>
              <w:t>150,0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F72978">
            <w:pPr>
              <w:spacing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869435">
            <w:pPr>
              <w:spacing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14:paraId="09F37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4" w:hRule="atLeast"/>
          <w:tblHeader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AAAD07">
            <w:pPr>
              <w:spacing w:after="0"/>
              <w:jc w:val="both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21CEDD">
            <w:pPr>
              <w:spacing w:after="0"/>
              <w:jc w:val="both"/>
              <w:rPr>
                <w:rFonts w:hint="default"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Реализация</w:t>
            </w:r>
            <w:r>
              <w:rPr>
                <w:rFonts w:hint="default" w:ascii="Times New Roman" w:hAnsi="Times New Roman"/>
                <w:color w:val="000000"/>
                <w:sz w:val="28"/>
                <w:szCs w:val="28"/>
                <w:lang w:val="ru-RU"/>
              </w:rPr>
              <w:t xml:space="preserve"> инициативных проектов (</w:t>
            </w:r>
            <w:r>
              <w:rPr>
                <w:rFonts w:ascii="Times New Roman" w:hAnsi="Times New Roman" w:cs="Times New Roman"/>
                <w:sz w:val="28"/>
                <w:szCs w:val="28"/>
                <w:u w:val="none"/>
              </w:rPr>
              <w:t>Приобретение и установка детской площадки по ул. Советской в с.Тепловка»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ru-RU"/>
              </w:rPr>
              <w:t>)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CF5F3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2025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6DF859">
            <w:pPr>
              <w:spacing w:after="0"/>
              <w:jc w:val="both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345,0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0C823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9169F5">
            <w:pPr>
              <w:spacing w:after="0"/>
              <w:jc w:val="both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140,0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7521FD">
            <w:pPr>
              <w:pStyle w:val="24"/>
              <w:jc w:val="both"/>
              <w:rPr>
                <w:rFonts w:hint="default"/>
                <w:b w:val="0"/>
                <w:sz w:val="28"/>
                <w:szCs w:val="28"/>
                <w:lang w:val="ru-RU"/>
              </w:rPr>
            </w:pPr>
            <w:r>
              <w:rPr>
                <w:rFonts w:hint="default"/>
                <w:b w:val="0"/>
                <w:sz w:val="28"/>
                <w:szCs w:val="28"/>
                <w:lang w:val="ru-RU"/>
              </w:rPr>
              <w:t>45,0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1CF607">
            <w:pPr>
              <w:pStyle w:val="24"/>
              <w:jc w:val="both"/>
              <w:rPr>
                <w:rFonts w:hint="default"/>
                <w:b w:val="0"/>
                <w:sz w:val="28"/>
                <w:szCs w:val="28"/>
                <w:lang w:val="ru-RU"/>
              </w:rPr>
            </w:pPr>
            <w:r>
              <w:rPr>
                <w:rFonts w:hint="default"/>
                <w:b w:val="0"/>
                <w:sz w:val="28"/>
                <w:szCs w:val="28"/>
                <w:lang w:val="ru-RU"/>
              </w:rPr>
              <w:t>160,0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B8A42E">
            <w:pPr>
              <w:spacing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4F5B66">
            <w:pPr>
              <w:spacing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14:paraId="1BF05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  <w:tblHeader/>
        </w:trPr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3120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3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CF4B7">
            <w:pPr>
              <w:pStyle w:val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6AAE74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2025</w:t>
            </w:r>
          </w:p>
          <w:p w14:paraId="6A7831B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2026</w:t>
            </w:r>
          </w:p>
          <w:p w14:paraId="3E76270F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A3CC80">
            <w:pPr>
              <w:spacing w:after="0" w:line="240" w:lineRule="auto"/>
              <w:ind w:firstLine="280" w:firstLineChars="10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4014,0</w:t>
            </w:r>
          </w:p>
          <w:p w14:paraId="5FC006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2811,6</w:t>
            </w:r>
          </w:p>
          <w:p w14:paraId="79569C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3080,0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7E5257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BF645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3609,0</w:t>
            </w:r>
          </w:p>
          <w:p w14:paraId="67A9DD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2811,6</w:t>
            </w:r>
          </w:p>
          <w:p w14:paraId="71602B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3080,0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CF3B3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95,0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972C2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310,0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C82E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32B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</w:tbl>
    <w:p w14:paraId="55DCE354">
      <w:pPr>
        <w:spacing w:after="0"/>
        <w:jc w:val="both"/>
        <w:rPr>
          <w:rFonts w:hint="default" w:ascii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Всего: </w:t>
      </w:r>
      <w:r>
        <w:rPr>
          <w:rFonts w:hint="default" w:ascii="Times New Roman" w:hAnsi="Times New Roman" w:cs="Times New Roman"/>
          <w:color w:val="FF0000"/>
          <w:sz w:val="28"/>
          <w:szCs w:val="28"/>
          <w:lang w:val="ru-RU"/>
        </w:rPr>
        <w:t>9905,6</w:t>
      </w:r>
    </w:p>
    <w:p w14:paraId="546205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134" w:right="1134" w:bottom="567" w:left="1134" w:header="709" w:footer="709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170158"/>
      <w:docPartObj>
        <w:docPartGallery w:val="autotext"/>
      </w:docPartObj>
    </w:sdtPr>
    <w:sdtContent>
      <w:p w14:paraId="3C7ABCCB">
        <w:pPr>
          <w:pStyle w:val="1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649B045A">
    <w:pPr>
      <w:pStyle w:val="1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0F46C5"/>
    <w:multiLevelType w:val="multilevel"/>
    <w:tmpl w:val="140F46C5"/>
    <w:lvl w:ilvl="0" w:tentative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532C3F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365"/>
    <w:rsid w:val="000430C5"/>
    <w:rsid w:val="00043D30"/>
    <w:rsid w:val="0004510C"/>
    <w:rsid w:val="000530EA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74AA"/>
    <w:rsid w:val="000D6DA5"/>
    <w:rsid w:val="000E113C"/>
    <w:rsid w:val="000E144F"/>
    <w:rsid w:val="000E1807"/>
    <w:rsid w:val="000E22B6"/>
    <w:rsid w:val="000E49C2"/>
    <w:rsid w:val="000F0E36"/>
    <w:rsid w:val="000F7768"/>
    <w:rsid w:val="00100909"/>
    <w:rsid w:val="001079CB"/>
    <w:rsid w:val="001109DC"/>
    <w:rsid w:val="00110E8E"/>
    <w:rsid w:val="0011310C"/>
    <w:rsid w:val="001219E1"/>
    <w:rsid w:val="00121F7A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F3721"/>
    <w:rsid w:val="001F4742"/>
    <w:rsid w:val="00203F72"/>
    <w:rsid w:val="00212550"/>
    <w:rsid w:val="00216F4F"/>
    <w:rsid w:val="00220A9D"/>
    <w:rsid w:val="002230DE"/>
    <w:rsid w:val="00223452"/>
    <w:rsid w:val="0023002B"/>
    <w:rsid w:val="00230971"/>
    <w:rsid w:val="00242AD4"/>
    <w:rsid w:val="00244E39"/>
    <w:rsid w:val="00270223"/>
    <w:rsid w:val="00270303"/>
    <w:rsid w:val="00282448"/>
    <w:rsid w:val="002832A9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E3E69"/>
    <w:rsid w:val="002E50DA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07740"/>
    <w:rsid w:val="00310286"/>
    <w:rsid w:val="0031181A"/>
    <w:rsid w:val="003250D6"/>
    <w:rsid w:val="00325798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2BDA"/>
    <w:rsid w:val="003A2F1E"/>
    <w:rsid w:val="003A4D7E"/>
    <w:rsid w:val="003B3E4F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6638"/>
    <w:rsid w:val="00420A48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5F61"/>
    <w:rsid w:val="0048105D"/>
    <w:rsid w:val="00484E11"/>
    <w:rsid w:val="00493485"/>
    <w:rsid w:val="004A0A82"/>
    <w:rsid w:val="004A1CA8"/>
    <w:rsid w:val="004A35E4"/>
    <w:rsid w:val="004A6C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6340"/>
    <w:rsid w:val="005718C6"/>
    <w:rsid w:val="005905C1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4D9C"/>
    <w:rsid w:val="00600D1D"/>
    <w:rsid w:val="006032A8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4932"/>
    <w:rsid w:val="00654B28"/>
    <w:rsid w:val="00660879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3F64"/>
    <w:rsid w:val="006A4763"/>
    <w:rsid w:val="006A76BC"/>
    <w:rsid w:val="006A79C9"/>
    <w:rsid w:val="006B002E"/>
    <w:rsid w:val="006C4A92"/>
    <w:rsid w:val="006C5277"/>
    <w:rsid w:val="006C6EA2"/>
    <w:rsid w:val="006D4CAA"/>
    <w:rsid w:val="006D7385"/>
    <w:rsid w:val="006D781F"/>
    <w:rsid w:val="006E2468"/>
    <w:rsid w:val="006F05B1"/>
    <w:rsid w:val="006F178A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7D6B"/>
    <w:rsid w:val="00774E7B"/>
    <w:rsid w:val="0078203B"/>
    <w:rsid w:val="00786ABF"/>
    <w:rsid w:val="007873F8"/>
    <w:rsid w:val="007953B3"/>
    <w:rsid w:val="007A2DC1"/>
    <w:rsid w:val="007B7681"/>
    <w:rsid w:val="007C5329"/>
    <w:rsid w:val="007D270D"/>
    <w:rsid w:val="007D5EA0"/>
    <w:rsid w:val="007E0D47"/>
    <w:rsid w:val="007E268C"/>
    <w:rsid w:val="007E527D"/>
    <w:rsid w:val="007F193F"/>
    <w:rsid w:val="007F1B90"/>
    <w:rsid w:val="007F45FC"/>
    <w:rsid w:val="007F797C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74B3"/>
    <w:rsid w:val="00841C8D"/>
    <w:rsid w:val="008508D7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A1038"/>
    <w:rsid w:val="008A68D2"/>
    <w:rsid w:val="008B1965"/>
    <w:rsid w:val="008B5F0D"/>
    <w:rsid w:val="008B626A"/>
    <w:rsid w:val="008C0C34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8F7F78"/>
    <w:rsid w:val="009062B3"/>
    <w:rsid w:val="009210DD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56634"/>
    <w:rsid w:val="0096068B"/>
    <w:rsid w:val="009607D8"/>
    <w:rsid w:val="00964D17"/>
    <w:rsid w:val="00981653"/>
    <w:rsid w:val="00984EDE"/>
    <w:rsid w:val="00993496"/>
    <w:rsid w:val="00993DF3"/>
    <w:rsid w:val="00993FB6"/>
    <w:rsid w:val="00994C49"/>
    <w:rsid w:val="00994C69"/>
    <w:rsid w:val="00996A5B"/>
    <w:rsid w:val="009C2B47"/>
    <w:rsid w:val="009C3965"/>
    <w:rsid w:val="009D0B0F"/>
    <w:rsid w:val="009E040F"/>
    <w:rsid w:val="009E403F"/>
    <w:rsid w:val="009E67E6"/>
    <w:rsid w:val="00A05CCF"/>
    <w:rsid w:val="00A1550E"/>
    <w:rsid w:val="00A173F9"/>
    <w:rsid w:val="00A262CF"/>
    <w:rsid w:val="00A32EC6"/>
    <w:rsid w:val="00A44941"/>
    <w:rsid w:val="00A46AD2"/>
    <w:rsid w:val="00A519CB"/>
    <w:rsid w:val="00A61D0F"/>
    <w:rsid w:val="00A61E08"/>
    <w:rsid w:val="00A63B32"/>
    <w:rsid w:val="00A64412"/>
    <w:rsid w:val="00A6661E"/>
    <w:rsid w:val="00A76460"/>
    <w:rsid w:val="00A7770C"/>
    <w:rsid w:val="00A86D78"/>
    <w:rsid w:val="00A95FCB"/>
    <w:rsid w:val="00A96AB4"/>
    <w:rsid w:val="00AA10B9"/>
    <w:rsid w:val="00AA1160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B00FA8"/>
    <w:rsid w:val="00B0162A"/>
    <w:rsid w:val="00B15168"/>
    <w:rsid w:val="00B16095"/>
    <w:rsid w:val="00B17FB0"/>
    <w:rsid w:val="00B268D5"/>
    <w:rsid w:val="00B47656"/>
    <w:rsid w:val="00B57BC2"/>
    <w:rsid w:val="00B57F49"/>
    <w:rsid w:val="00B62414"/>
    <w:rsid w:val="00B76943"/>
    <w:rsid w:val="00B81020"/>
    <w:rsid w:val="00B83817"/>
    <w:rsid w:val="00B921C5"/>
    <w:rsid w:val="00B9221C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49A3"/>
    <w:rsid w:val="00BD73B3"/>
    <w:rsid w:val="00BE26BA"/>
    <w:rsid w:val="00BE58F1"/>
    <w:rsid w:val="00BE7E4E"/>
    <w:rsid w:val="00C05EA4"/>
    <w:rsid w:val="00C1071D"/>
    <w:rsid w:val="00C1754A"/>
    <w:rsid w:val="00C43FD5"/>
    <w:rsid w:val="00C458D3"/>
    <w:rsid w:val="00C46A30"/>
    <w:rsid w:val="00C51020"/>
    <w:rsid w:val="00C60677"/>
    <w:rsid w:val="00C67D92"/>
    <w:rsid w:val="00C7033B"/>
    <w:rsid w:val="00C70D6B"/>
    <w:rsid w:val="00C720E6"/>
    <w:rsid w:val="00C758D8"/>
    <w:rsid w:val="00C90288"/>
    <w:rsid w:val="00C954DB"/>
    <w:rsid w:val="00C96F3C"/>
    <w:rsid w:val="00CB19B8"/>
    <w:rsid w:val="00CB6484"/>
    <w:rsid w:val="00CC25B5"/>
    <w:rsid w:val="00CC347E"/>
    <w:rsid w:val="00CC778C"/>
    <w:rsid w:val="00CC7EF9"/>
    <w:rsid w:val="00CD10CF"/>
    <w:rsid w:val="00CD761C"/>
    <w:rsid w:val="00CE1513"/>
    <w:rsid w:val="00CE3E80"/>
    <w:rsid w:val="00CF04E6"/>
    <w:rsid w:val="00D02E32"/>
    <w:rsid w:val="00D0343F"/>
    <w:rsid w:val="00D0638C"/>
    <w:rsid w:val="00D07145"/>
    <w:rsid w:val="00D07A86"/>
    <w:rsid w:val="00D1062E"/>
    <w:rsid w:val="00D13F9D"/>
    <w:rsid w:val="00D176B5"/>
    <w:rsid w:val="00D31F68"/>
    <w:rsid w:val="00D32372"/>
    <w:rsid w:val="00D351A0"/>
    <w:rsid w:val="00D3598C"/>
    <w:rsid w:val="00D36842"/>
    <w:rsid w:val="00D432D4"/>
    <w:rsid w:val="00D571C9"/>
    <w:rsid w:val="00D60C43"/>
    <w:rsid w:val="00D62648"/>
    <w:rsid w:val="00D67285"/>
    <w:rsid w:val="00D7258E"/>
    <w:rsid w:val="00D7573C"/>
    <w:rsid w:val="00D818EA"/>
    <w:rsid w:val="00D8577A"/>
    <w:rsid w:val="00D8718E"/>
    <w:rsid w:val="00D90AB6"/>
    <w:rsid w:val="00DA005C"/>
    <w:rsid w:val="00DA24D4"/>
    <w:rsid w:val="00DA2E73"/>
    <w:rsid w:val="00DA42D4"/>
    <w:rsid w:val="00DB1231"/>
    <w:rsid w:val="00DB1BF3"/>
    <w:rsid w:val="00DC13A2"/>
    <w:rsid w:val="00DC324B"/>
    <w:rsid w:val="00DC50FF"/>
    <w:rsid w:val="00DC6A6E"/>
    <w:rsid w:val="00DD2D7E"/>
    <w:rsid w:val="00DD2E69"/>
    <w:rsid w:val="00DE31B8"/>
    <w:rsid w:val="00DF7FF6"/>
    <w:rsid w:val="00E005B3"/>
    <w:rsid w:val="00E031DD"/>
    <w:rsid w:val="00E055C5"/>
    <w:rsid w:val="00E11E55"/>
    <w:rsid w:val="00E23E44"/>
    <w:rsid w:val="00E27A8E"/>
    <w:rsid w:val="00E27DBE"/>
    <w:rsid w:val="00E322D2"/>
    <w:rsid w:val="00E32303"/>
    <w:rsid w:val="00E37840"/>
    <w:rsid w:val="00E410BA"/>
    <w:rsid w:val="00E56C36"/>
    <w:rsid w:val="00E61A8A"/>
    <w:rsid w:val="00E700C1"/>
    <w:rsid w:val="00E80005"/>
    <w:rsid w:val="00E825C7"/>
    <w:rsid w:val="00E85275"/>
    <w:rsid w:val="00E923D1"/>
    <w:rsid w:val="00E93807"/>
    <w:rsid w:val="00E95BC6"/>
    <w:rsid w:val="00EA7931"/>
    <w:rsid w:val="00EB57E0"/>
    <w:rsid w:val="00EC6A1D"/>
    <w:rsid w:val="00ED3E07"/>
    <w:rsid w:val="00ED7515"/>
    <w:rsid w:val="00EE1D0D"/>
    <w:rsid w:val="00EE264A"/>
    <w:rsid w:val="00EF3DCA"/>
    <w:rsid w:val="00EF433F"/>
    <w:rsid w:val="00EF711A"/>
    <w:rsid w:val="00F02165"/>
    <w:rsid w:val="00F029DF"/>
    <w:rsid w:val="00F02AC9"/>
    <w:rsid w:val="00F03AEF"/>
    <w:rsid w:val="00F03B67"/>
    <w:rsid w:val="00F05136"/>
    <w:rsid w:val="00F07876"/>
    <w:rsid w:val="00F21FA6"/>
    <w:rsid w:val="00F2281C"/>
    <w:rsid w:val="00F23DBE"/>
    <w:rsid w:val="00F3142F"/>
    <w:rsid w:val="00F34771"/>
    <w:rsid w:val="00F4300F"/>
    <w:rsid w:val="00F51EE6"/>
    <w:rsid w:val="00F603F3"/>
    <w:rsid w:val="00F76365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218F"/>
    <w:rsid w:val="00FD2FE0"/>
    <w:rsid w:val="00FD36F7"/>
    <w:rsid w:val="00FD4B4C"/>
    <w:rsid w:val="00FD68AC"/>
    <w:rsid w:val="00FE19BA"/>
    <w:rsid w:val="00FF5060"/>
    <w:rsid w:val="00FF6BBD"/>
    <w:rsid w:val="1DC46FA0"/>
    <w:rsid w:val="7AFA29A0"/>
    <w:rsid w:val="7B72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3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5"/>
    <w:qFormat/>
    <w:uiPriority w:val="0"/>
    <w:pPr>
      <w:keepNext/>
      <w:spacing w:after="0" w:line="240" w:lineRule="auto"/>
      <w:outlineLvl w:val="1"/>
    </w:pPr>
    <w:rPr>
      <w:rFonts w:ascii="Arial" w:hAnsi="Arial" w:eastAsia="Times New Roman" w:cs="Times New Roman"/>
      <w:b/>
      <w:sz w:val="24"/>
      <w:szCs w:val="20"/>
    </w:rPr>
  </w:style>
  <w:style w:type="paragraph" w:styleId="4">
    <w:name w:val="heading 3"/>
    <w:basedOn w:val="1"/>
    <w:next w:val="1"/>
    <w:link w:val="25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qFormat/>
    <w:uiPriority w:val="0"/>
  </w:style>
  <w:style w:type="paragraph" w:styleId="9">
    <w:name w:val="Body Text 2"/>
    <w:basedOn w:val="1"/>
    <w:link w:val="17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sz w:val="24"/>
      <w:szCs w:val="20"/>
    </w:rPr>
  </w:style>
  <w:style w:type="paragraph" w:styleId="10">
    <w:name w:val="header"/>
    <w:basedOn w:val="1"/>
    <w:link w:val="18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8"/>
      <w:szCs w:val="20"/>
    </w:rPr>
  </w:style>
  <w:style w:type="paragraph" w:styleId="11">
    <w:name w:val="Body Text"/>
    <w:basedOn w:val="1"/>
    <w:link w:val="23"/>
    <w:unhideWhenUsed/>
    <w:qFormat/>
    <w:uiPriority w:val="99"/>
    <w:pPr>
      <w:spacing w:after="120"/>
    </w:pPr>
  </w:style>
  <w:style w:type="paragraph" w:styleId="12">
    <w:name w:val="Body Text Indent"/>
    <w:basedOn w:val="1"/>
    <w:link w:val="16"/>
    <w:qFormat/>
    <w:uiPriority w:val="0"/>
    <w:pPr>
      <w:spacing w:after="0" w:line="240" w:lineRule="auto"/>
      <w:ind w:left="1080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13">
    <w:name w:val="foot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5">
    <w:name w:val="Заголовок 2 Знак"/>
    <w:basedOn w:val="6"/>
    <w:link w:val="3"/>
    <w:qFormat/>
    <w:uiPriority w:val="0"/>
    <w:rPr>
      <w:rFonts w:ascii="Arial" w:hAnsi="Arial" w:eastAsia="Times New Roman" w:cs="Times New Roman"/>
      <w:b/>
      <w:sz w:val="24"/>
      <w:szCs w:val="20"/>
    </w:rPr>
  </w:style>
  <w:style w:type="character" w:customStyle="1" w:styleId="16">
    <w:name w:val="Основной текст с отступом Знак"/>
    <w:basedOn w:val="6"/>
    <w:link w:val="12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character" w:customStyle="1" w:styleId="17">
    <w:name w:val="Основной текст 2 Знак"/>
    <w:basedOn w:val="6"/>
    <w:link w:val="9"/>
    <w:qFormat/>
    <w:uiPriority w:val="0"/>
    <w:rPr>
      <w:rFonts w:ascii="Times New Roman" w:hAnsi="Times New Roman" w:eastAsia="Times New Roman" w:cs="Times New Roman"/>
      <w:b/>
      <w:sz w:val="24"/>
      <w:szCs w:val="20"/>
    </w:rPr>
  </w:style>
  <w:style w:type="character" w:customStyle="1" w:styleId="18">
    <w:name w:val="Верхний колонтитул Знак"/>
    <w:basedOn w:val="6"/>
    <w:link w:val="10"/>
    <w:qFormat/>
    <w:uiPriority w:val="0"/>
    <w:rPr>
      <w:rFonts w:ascii="Times New Roman" w:hAnsi="Times New Roman" w:eastAsia="Times New Roman" w:cs="Times New Roman"/>
      <w:sz w:val="28"/>
      <w:szCs w:val="20"/>
    </w:rPr>
  </w:style>
  <w:style w:type="paragraph" w:customStyle="1" w:styleId="19">
    <w:name w:val="Обычный1"/>
    <w:qFormat/>
    <w:uiPriority w:val="0"/>
    <w:pPr>
      <w:widowControl w:val="0"/>
      <w:spacing w:after="0" w:line="300" w:lineRule="auto"/>
      <w:ind w:firstLine="480"/>
      <w:jc w:val="both"/>
    </w:pPr>
    <w:rPr>
      <w:rFonts w:ascii="Times New Roman" w:hAnsi="Times New Roman" w:eastAsia="Times New Roman" w:cs="Times New Roman"/>
      <w:snapToGrid w:val="0"/>
      <w:sz w:val="22"/>
      <w:szCs w:val="20"/>
      <w:lang w:val="ru-RU" w:eastAsia="ru-RU" w:bidi="ar-SA"/>
    </w:rPr>
  </w:style>
  <w:style w:type="paragraph" w:styleId="20">
    <w:name w:val="List Paragraph"/>
    <w:basedOn w:val="1"/>
    <w:qFormat/>
    <w:uiPriority w:val="34"/>
    <w:pPr>
      <w:ind w:left="720"/>
      <w:contextualSpacing/>
    </w:pPr>
  </w:style>
  <w:style w:type="paragraph" w:customStyle="1" w:styleId="21">
    <w:name w:val="Стиль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val="ru-RU" w:eastAsia="ru-RU" w:bidi="ar-SA"/>
    </w:rPr>
  </w:style>
  <w:style w:type="character" w:customStyle="1" w:styleId="22">
    <w:name w:val="Нижний колонтитул Знак"/>
    <w:basedOn w:val="6"/>
    <w:link w:val="13"/>
    <w:qFormat/>
    <w:uiPriority w:val="99"/>
  </w:style>
  <w:style w:type="character" w:customStyle="1" w:styleId="23">
    <w:name w:val="Основной текст Знак"/>
    <w:basedOn w:val="6"/>
    <w:link w:val="11"/>
    <w:uiPriority w:val="99"/>
  </w:style>
  <w:style w:type="paragraph" w:customStyle="1" w:styleId="24">
    <w:name w:val="ConsPlusTit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b/>
      <w:bCs/>
      <w:sz w:val="24"/>
      <w:szCs w:val="24"/>
      <w:lang w:val="ru-RU" w:eastAsia="ru-RU" w:bidi="ar-SA"/>
    </w:rPr>
  </w:style>
  <w:style w:type="character" w:customStyle="1" w:styleId="25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6">
    <w:name w:val="Заголовок 4 Знак"/>
    <w:basedOn w:val="6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customStyle="1" w:styleId="27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styleId="28">
    <w:name w:val="No Spacing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29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30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DFEC-B91C-4312-A33E-73919E6ED0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2342</Words>
  <Characters>13350</Characters>
  <Lines>111</Lines>
  <Paragraphs>31</Paragraphs>
  <TotalTime>31</TotalTime>
  <ScaleCrop>false</ScaleCrop>
  <LinksUpToDate>false</LinksUpToDate>
  <CharactersWithSpaces>15661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2014-04-07T07:44:00Z</dcterms:created>
  <dc:creator>Наталья</dc:creator>
  <cp:lastModifiedBy>User</cp:lastModifiedBy>
  <cp:lastPrinted>2025-01-20T09:55:00Z</cp:lastPrinted>
  <dcterms:modified xsi:type="dcterms:W3CDTF">2025-01-21T12:24:04Z</dcterms:modified>
  <cp:revision>218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042C105D9B5144EE9CF5366BE4E99686_12</vt:lpwstr>
  </property>
</Properties>
</file>